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EC" w:rsidRPr="00813BEC" w:rsidRDefault="00813BEC" w:rsidP="00813BEC">
      <w:pPr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 w:rsidRPr="00813BEC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Внимание, АКЦИЯ!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13BEC" w:rsidRPr="00813BEC" w:rsidTr="00813BEC">
        <w:trPr>
          <w:tblCellSpacing w:w="0" w:type="dxa"/>
        </w:trPr>
        <w:tc>
          <w:tcPr>
            <w:tcW w:w="5000" w:type="pct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Сезонные скидки на комплекты компьютерной программы-сканера "АВТОАС-СКАН СТАРТ", "АВТОАС-СКАН МАКС" и пакеты программных модулей "АВТОАС-СКАН RUS", "АВТОАС-СКАН FULL".</w:t>
            </w:r>
          </w:p>
        </w:tc>
      </w:tr>
    </w:tbl>
    <w:p w:rsidR="00813BEC" w:rsidRPr="00813BEC" w:rsidRDefault="00813BEC" w:rsidP="0081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90"/>
        <w:gridCol w:w="8890"/>
      </w:tblGrid>
      <w:tr w:rsidR="00813BEC" w:rsidRPr="00813BEC" w:rsidTr="00813BEC">
        <w:trPr>
          <w:trHeight w:val="45"/>
          <w:tblCellSpacing w:w="0" w:type="dxa"/>
        </w:trPr>
        <w:tc>
          <w:tcPr>
            <w:tcW w:w="375" w:type="dxa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21F1FD3" wp14:editId="07761452">
                  <wp:extent cx="238125" cy="28575"/>
                  <wp:effectExtent l="0" t="0" r="0" b="0"/>
                  <wp:docPr id="1" name="Рисунок 1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F14BC64" wp14:editId="3FCA6C4C">
                  <wp:extent cx="57150" cy="28575"/>
                  <wp:effectExtent l="0" t="0" r="0" b="0"/>
                  <wp:docPr id="2" name="Рисунок 2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98C20E5" wp14:editId="40666213">
                  <wp:extent cx="9525" cy="28575"/>
                  <wp:effectExtent l="0" t="0" r="0" b="0"/>
                  <wp:docPr id="3" name="Рисунок 3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BEC" w:rsidRPr="00813BEC" w:rsidTr="00813BEC">
        <w:trPr>
          <w:trHeight w:val="45"/>
          <w:tblCellSpacing w:w="0" w:type="dxa"/>
        </w:trPr>
        <w:tc>
          <w:tcPr>
            <w:tcW w:w="375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FD6BF7E" wp14:editId="0BE31716">
                  <wp:extent cx="238125" cy="28575"/>
                  <wp:effectExtent l="0" t="0" r="0" b="0"/>
                  <wp:docPr id="4" name="Рисунок 4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C7D177E" wp14:editId="1AB9AB37">
                  <wp:extent cx="57150" cy="28575"/>
                  <wp:effectExtent l="0" t="0" r="0" b="9525"/>
                  <wp:docPr id="5" name="Рисунок 5" descr="http://www.acelab.ru/dep.auto/images/tri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acelab.ru/dep.auto/images/tri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5FB2AFE" wp14:editId="5F616F0F">
                  <wp:extent cx="9525" cy="28575"/>
                  <wp:effectExtent l="0" t="0" r="0" b="0"/>
                  <wp:docPr id="6" name="Рисунок 6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BEC" w:rsidRPr="00813BEC" w:rsidTr="00813BEC">
        <w:trPr>
          <w:trHeight w:val="315"/>
          <w:tblCellSpacing w:w="0" w:type="dxa"/>
        </w:trPr>
        <w:tc>
          <w:tcPr>
            <w:tcW w:w="375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FAD339A" wp14:editId="3C0802FC">
                  <wp:extent cx="238125" cy="28575"/>
                  <wp:effectExtent l="0" t="0" r="0" b="0"/>
                  <wp:docPr id="7" name="Рисунок 7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shd w:val="clear" w:color="auto" w:fill="F4F4F4"/>
            <w:vAlign w:val="center"/>
            <w:hideMark/>
          </w:tcPr>
          <w:p w:rsidR="00813BEC" w:rsidRPr="00813BEC" w:rsidRDefault="00813BEC" w:rsidP="00813BEC">
            <w:pPr>
              <w:spacing w:before="100" w:beforeAutospacing="1" w:after="15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B40A0"/>
                <w:kern w:val="36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B40A0"/>
                <w:kern w:val="36"/>
                <w:sz w:val="18"/>
                <w:szCs w:val="18"/>
                <w:lang w:eastAsia="ru-RU"/>
              </w:rPr>
              <w:t>ПРАЙС-ЛИСТ ОТ 1.12.2016г.</w:t>
            </w:r>
          </w:p>
        </w:tc>
      </w:tr>
    </w:tbl>
    <w:p w:rsidR="00813BEC" w:rsidRPr="00813BEC" w:rsidRDefault="00813BEC" w:rsidP="00813BE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всё оборудование предоставляется гарантия 1 год.</w:t>
      </w:r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 датчики, разъёмы, диагностические кабели и щупы – 3 мес.</w:t>
      </w:r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Цены включают НДС 18</w:t>
      </w:r>
      <w:proofErr w:type="gramStart"/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%.</w:t>
      </w:r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Цена</w:t>
      </w:r>
      <w:proofErr w:type="gramEnd"/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включает стоимость доставки оборудования заказчику.</w:t>
      </w:r>
    </w:p>
    <w:p w:rsidR="00813BEC" w:rsidRPr="00813BEC" w:rsidRDefault="00813BEC" w:rsidP="0081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90"/>
        <w:gridCol w:w="8890"/>
      </w:tblGrid>
      <w:tr w:rsidR="00813BEC" w:rsidRPr="00813BEC" w:rsidTr="00813BEC">
        <w:trPr>
          <w:trHeight w:val="45"/>
          <w:tblCellSpacing w:w="0" w:type="dxa"/>
        </w:trPr>
        <w:tc>
          <w:tcPr>
            <w:tcW w:w="375" w:type="dxa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2A19946" wp14:editId="467E5380">
                  <wp:extent cx="238125" cy="28575"/>
                  <wp:effectExtent l="0" t="0" r="0" b="0"/>
                  <wp:docPr id="8" name="Рисунок 8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C81F5DB" wp14:editId="11A084A4">
                  <wp:extent cx="57150" cy="28575"/>
                  <wp:effectExtent l="0" t="0" r="0" b="0"/>
                  <wp:docPr id="9" name="Рисунок 9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0C1D42F" wp14:editId="2297191B">
                  <wp:extent cx="9525" cy="28575"/>
                  <wp:effectExtent l="0" t="0" r="0" b="0"/>
                  <wp:docPr id="10" name="Рисунок 10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BEC" w:rsidRPr="00813BEC" w:rsidTr="00813BEC">
        <w:trPr>
          <w:trHeight w:val="45"/>
          <w:tblCellSpacing w:w="0" w:type="dxa"/>
        </w:trPr>
        <w:tc>
          <w:tcPr>
            <w:tcW w:w="375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6F5F235" wp14:editId="57197AC1">
                  <wp:extent cx="238125" cy="28575"/>
                  <wp:effectExtent l="0" t="0" r="0" b="0"/>
                  <wp:docPr id="11" name="Рисунок 11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4599AA5" wp14:editId="3487DDBF">
                  <wp:extent cx="57150" cy="28575"/>
                  <wp:effectExtent l="0" t="0" r="0" b="9525"/>
                  <wp:docPr id="12" name="Рисунок 12" descr="http://www.acelab.ru/dep.auto/images/tri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acelab.ru/dep.auto/images/tri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C8E790B" wp14:editId="73EA76DD">
                  <wp:extent cx="9525" cy="28575"/>
                  <wp:effectExtent l="0" t="0" r="0" b="0"/>
                  <wp:docPr id="13" name="Рисунок 13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BEC" w:rsidRPr="00813BEC" w:rsidTr="00813BEC">
        <w:trPr>
          <w:trHeight w:val="315"/>
          <w:tblCellSpacing w:w="0" w:type="dxa"/>
        </w:trPr>
        <w:tc>
          <w:tcPr>
            <w:tcW w:w="375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0C67151" wp14:editId="1B2E05E4">
                  <wp:extent cx="238125" cy="28575"/>
                  <wp:effectExtent l="0" t="0" r="0" b="0"/>
                  <wp:docPr id="14" name="Рисунок 14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shd w:val="clear" w:color="auto" w:fill="F4F4F4"/>
            <w:vAlign w:val="center"/>
            <w:hideMark/>
          </w:tcPr>
          <w:p w:rsidR="00813BEC" w:rsidRPr="00813BEC" w:rsidRDefault="00813BEC" w:rsidP="00813BEC">
            <w:pPr>
              <w:spacing w:before="100" w:beforeAutospacing="1" w:after="15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B40A0"/>
                <w:kern w:val="36"/>
                <w:sz w:val="18"/>
                <w:szCs w:val="18"/>
                <w:lang w:eastAsia="ru-RU"/>
              </w:rPr>
            </w:pPr>
            <w:hyperlink r:id="rId6" w:history="1">
              <w:r w:rsidRPr="00813BEC">
                <w:rPr>
                  <w:rFonts w:ascii="Verdana" w:eastAsia="Times New Roman" w:hAnsi="Verdana" w:cs="Times New Roman"/>
                  <w:b/>
                  <w:bCs/>
                  <w:color w:val="0C58A8"/>
                  <w:kern w:val="36"/>
                  <w:sz w:val="18"/>
                  <w:szCs w:val="18"/>
                  <w:u w:val="single"/>
                  <w:lang w:eastAsia="ru-RU"/>
                </w:rPr>
                <w:t>КОМПЬЮТЕРНАЯ ПРОГРАММА-СКАНЕР «АВТОАС-СКАН» ДЛЯ ЛЕГКОВЫХ И ЛЕГКИХ КОММЕРЧЕСКИХ АВТОМОБИЛЕЙ</w:t>
              </w:r>
            </w:hyperlink>
            <w:r w:rsidRPr="00813BEC">
              <w:rPr>
                <w:rFonts w:ascii="Verdana" w:eastAsia="Times New Roman" w:hAnsi="Verdana" w:cs="Times New Roman"/>
                <w:b/>
                <w:bCs/>
                <w:color w:val="0B40A0"/>
                <w:kern w:val="36"/>
                <w:sz w:val="18"/>
                <w:szCs w:val="18"/>
                <w:lang w:eastAsia="ru-RU"/>
              </w:rPr>
              <w:t>*</w:t>
            </w:r>
          </w:p>
        </w:tc>
      </w:tr>
    </w:tbl>
    <w:p w:rsidR="00813BEC" w:rsidRPr="00813BEC" w:rsidRDefault="00813BEC" w:rsidP="00813BE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Работает под управлением ПК, ноутбука, планшета с USB 2.0 (</w:t>
      </w:r>
      <w:proofErr w:type="spellStart"/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High</w:t>
      </w:r>
      <w:proofErr w:type="spellEnd"/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Speed</w:t>
      </w:r>
      <w:proofErr w:type="spellEnd"/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и ОС </w:t>
      </w:r>
      <w:proofErr w:type="spellStart"/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Windows</w:t>
      </w:r>
      <w:proofErr w:type="spellEnd"/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XP/VISTA/7/8/10 (x32/x64)</w:t>
      </w:r>
    </w:p>
    <w:tbl>
      <w:tblPr>
        <w:tblW w:w="5000" w:type="pct"/>
        <w:tblCellSpacing w:w="0" w:type="dxa"/>
        <w:tblBorders>
          <w:top w:val="outset" w:sz="6" w:space="0" w:color="C3C4C6"/>
          <w:left w:val="outset" w:sz="6" w:space="0" w:color="C3C4C6"/>
          <w:bottom w:val="outset" w:sz="6" w:space="0" w:color="C3C4C6"/>
          <w:right w:val="outset" w:sz="6" w:space="0" w:color="C3C4C6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9"/>
        <w:gridCol w:w="2550"/>
        <w:gridCol w:w="5423"/>
        <w:gridCol w:w="897"/>
      </w:tblGrid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Комплект сканера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«АВТОАС-СКАН-</w:t>
            </w:r>
            <w:proofErr w:type="gram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СТАРТ»*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6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модулей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«АВТОАС-СКАН» в комплекте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для обслуживания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ВАЗ, ГАЗ, УАЗ, ИЖ, ЗАЗ + диагностика иномарок OBD-II (EOBD)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В комплект входят: адаптер «USB-ECU AS 3», кабель «OBD-II 24», кабель USB 3м, пакет программных модулей «АВТОАС-СКАН-RUS» 6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модулей</w:t>
            </w:r>
            <w:proofErr w:type="gramEnd"/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ru-RU"/>
              </w:rPr>
              <w:t>16950</w:t>
            </w:r>
          </w:p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Акция!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br/>
              <w:t>12300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Комплект сканера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«АВТОАС-СКАН-</w:t>
            </w:r>
            <w:proofErr w:type="gram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МАКС»*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20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модулей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Компьютерная программа-сканер «АВТОАС-СКАН» в комплекте для обслуживания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легковых и легких коммерческих автомобилей ВАЗ, ГАЗ, УАЗ, ИЖ, ЗАЗ,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ТаГАЗ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Daewoo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KIA,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Ssang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Yong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Opel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Renault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VAG,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Ford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Fiat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-RUS,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Mazda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Subaru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Chery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ВYD,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Geely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Great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Wall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Lifan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OBD-II.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В комплект входят: адаптер «USB-ECU AS 3», кабель «OBD-II 24», кабель USB 3м, пакет программных модулей «АВТОАС-СКАН-FULL» 20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модулей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ru-RU"/>
              </w:rPr>
              <w:t>29950</w:t>
            </w:r>
          </w:p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Акция!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br/>
              <w:t>25300</w:t>
            </w:r>
          </w:p>
        </w:tc>
      </w:tr>
    </w:tbl>
    <w:p w:rsidR="00813BEC" w:rsidRPr="00813BEC" w:rsidRDefault="00813BEC" w:rsidP="00813B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3BE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* - Внимание!</w:t>
      </w:r>
      <w:r w:rsidRPr="00813B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В комплекты «АВТОАС-СКАН-СТАРТ» и «АВТОАС-СКАН-МАКС» входит только диагностический кабель «OBD-II 24», остальные диагностические кабели приобретаются дополнительно, </w:t>
      </w:r>
      <w:r w:rsidRPr="00813BE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см. строки 30-43</w:t>
      </w:r>
      <w:r w:rsidRPr="00813B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прайс-листа.</w:t>
      </w:r>
    </w:p>
    <w:p w:rsidR="00813BEC" w:rsidRPr="00813BEC" w:rsidRDefault="00813BEC" w:rsidP="0081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90"/>
        <w:gridCol w:w="8890"/>
      </w:tblGrid>
      <w:tr w:rsidR="00813BEC" w:rsidRPr="00813BEC" w:rsidTr="00813BEC">
        <w:trPr>
          <w:trHeight w:val="45"/>
          <w:tblCellSpacing w:w="0" w:type="dxa"/>
        </w:trPr>
        <w:tc>
          <w:tcPr>
            <w:tcW w:w="375" w:type="dxa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7F5ED7E" wp14:editId="0DA5C4D6">
                  <wp:extent cx="238125" cy="28575"/>
                  <wp:effectExtent l="0" t="0" r="0" b="0"/>
                  <wp:docPr id="15" name="Рисунок 15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0A4D60A" wp14:editId="1D8ACBFE">
                  <wp:extent cx="57150" cy="28575"/>
                  <wp:effectExtent l="0" t="0" r="0" b="0"/>
                  <wp:docPr id="16" name="Рисунок 16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EB3FA3F" wp14:editId="3D7C1DF2">
                  <wp:extent cx="9525" cy="28575"/>
                  <wp:effectExtent l="0" t="0" r="0" b="0"/>
                  <wp:docPr id="17" name="Рисунок 17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BEC" w:rsidRPr="00813BEC" w:rsidTr="00813BEC">
        <w:trPr>
          <w:trHeight w:val="45"/>
          <w:tblCellSpacing w:w="0" w:type="dxa"/>
        </w:trPr>
        <w:tc>
          <w:tcPr>
            <w:tcW w:w="375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9944112" wp14:editId="44E131E3">
                  <wp:extent cx="238125" cy="28575"/>
                  <wp:effectExtent l="0" t="0" r="0" b="0"/>
                  <wp:docPr id="18" name="Рисунок 18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790FE86" wp14:editId="5D59CF20">
                  <wp:extent cx="57150" cy="28575"/>
                  <wp:effectExtent l="0" t="0" r="0" b="9525"/>
                  <wp:docPr id="19" name="Рисунок 19" descr="http://www.acelab.ru/dep.auto/images/tri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acelab.ru/dep.auto/images/tri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08109E3" wp14:editId="52A26479">
                  <wp:extent cx="9525" cy="28575"/>
                  <wp:effectExtent l="0" t="0" r="0" b="0"/>
                  <wp:docPr id="20" name="Рисунок 20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BEC" w:rsidRPr="00813BEC" w:rsidTr="00813BEC">
        <w:trPr>
          <w:trHeight w:val="315"/>
          <w:tblCellSpacing w:w="0" w:type="dxa"/>
        </w:trPr>
        <w:tc>
          <w:tcPr>
            <w:tcW w:w="375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1650D93" wp14:editId="41C737C8">
                  <wp:extent cx="238125" cy="28575"/>
                  <wp:effectExtent l="0" t="0" r="0" b="0"/>
                  <wp:docPr id="21" name="Рисунок 21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shd w:val="clear" w:color="auto" w:fill="F4F4F4"/>
            <w:vAlign w:val="center"/>
            <w:hideMark/>
          </w:tcPr>
          <w:p w:rsidR="00813BEC" w:rsidRPr="00813BEC" w:rsidRDefault="00813BEC" w:rsidP="00813BEC">
            <w:pPr>
              <w:spacing w:before="100" w:beforeAutospacing="1" w:after="15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B40A0"/>
                <w:kern w:val="36"/>
                <w:sz w:val="18"/>
                <w:szCs w:val="18"/>
                <w:lang w:eastAsia="ru-RU"/>
              </w:rPr>
            </w:pPr>
            <w:hyperlink r:id="rId7" w:history="1">
              <w:r w:rsidRPr="00813BEC">
                <w:rPr>
                  <w:rFonts w:ascii="Verdana" w:eastAsia="Times New Roman" w:hAnsi="Verdana" w:cs="Times New Roman"/>
                  <w:b/>
                  <w:bCs/>
                  <w:color w:val="0C58A8"/>
                  <w:kern w:val="36"/>
                  <w:sz w:val="18"/>
                  <w:szCs w:val="18"/>
                  <w:u w:val="single"/>
                  <w:lang w:eastAsia="ru-RU"/>
                </w:rPr>
                <w:t>КОМПЬЮТЕРНЫЙ СКАНЕР «АВТОАС-КАРГО» ДЛЯ ГРУЗОВЫХ АВТОМОБИЛЕЙ</w:t>
              </w:r>
            </w:hyperlink>
          </w:p>
        </w:tc>
      </w:tr>
    </w:tbl>
    <w:p w:rsidR="00813BEC" w:rsidRPr="00813BEC" w:rsidRDefault="00813BEC" w:rsidP="00813BE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Работает под управлением ПК, ноутбука, планшета с ОС </w:t>
      </w:r>
      <w:proofErr w:type="spellStart"/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Windows</w:t>
      </w:r>
      <w:proofErr w:type="spellEnd"/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XP/VISTA/7/8/10 (x32/x64</w:t>
      </w:r>
      <w:proofErr w:type="gramStart"/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Подключение</w:t>
      </w:r>
      <w:proofErr w:type="gramEnd"/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USB или </w:t>
      </w:r>
      <w:proofErr w:type="spellStart"/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Bluetooth</w:t>
      </w:r>
      <w:proofErr w:type="spellEnd"/>
    </w:p>
    <w:tbl>
      <w:tblPr>
        <w:tblW w:w="5000" w:type="pct"/>
        <w:tblCellSpacing w:w="0" w:type="dxa"/>
        <w:tblBorders>
          <w:top w:val="outset" w:sz="6" w:space="0" w:color="C3C4C6"/>
          <w:left w:val="outset" w:sz="6" w:space="0" w:color="C3C4C6"/>
          <w:bottom w:val="outset" w:sz="6" w:space="0" w:color="C3C4C6"/>
          <w:right w:val="outset" w:sz="6" w:space="0" w:color="C3C4C6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3"/>
        <w:gridCol w:w="2550"/>
        <w:gridCol w:w="5548"/>
        <w:gridCol w:w="768"/>
      </w:tblGrid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Компьютерный сканер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«АВТОАС-КАРГО»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Специализированный компьютерный сканер для диагностики дизельных двигателей Евро-3/4/5 грузовых автомобилей, автобусов, спец. техники: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КАМАЗ, МАЗ, ГАЗ, ПАЗ,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КАвЗ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ЛиАЗ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УРАЛ, КрАЗ, ЗИЛ,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НефАЗ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В комплект входит: адаптер “ECU-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Link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3”, диагностические кабели “OBD-II 24</w:t>
            </w:r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” ,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“SAE J1939”, переходник «DB15-CAN R», переходник «DB15-ECU57», кабель USB 3м, инсталляционный CD- диск.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22500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Компьютерный сканер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«АВТОАС-КАРГО» (базовый </w:t>
            </w:r>
            <w:proofErr w:type="gram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комплект)*</w:t>
            </w:r>
            <w:proofErr w:type="gram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Специализированный компьютерный сканер для диагностики дизельных двигателей Евро-3/4/5 грузовых автомобилей, автобусов, спец. техники: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КАМАЗ, МАЗ, ГАЗ, ПАЗ,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КАвЗ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ЛиАЗ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УРАЛ, КрАЗ, ЗИЛ,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НефАЗ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В комплект входит: адаптер “ECU-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Link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3”, диагностический кабель “OBD-II 24”, кабель USB 3м, инсталляционный CD-диск.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18950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Программный модуль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«RP1210 (CAN)»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для адаптера «ECU-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Link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3»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NEW!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Дополнительный программный модуль для работы «АВТОАС-КАРГО» с адаптером «ECU-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Link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3» с программным обеспечением сторонних производителей, например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Cummins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INSITE»,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Cummins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Calterm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III».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</w:tr>
    </w:tbl>
    <w:p w:rsidR="00813BEC" w:rsidRPr="00813BEC" w:rsidRDefault="00813BEC" w:rsidP="00813B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3BE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** - Внимание!</w:t>
      </w:r>
      <w:r w:rsidRPr="00813B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В </w:t>
      </w:r>
      <w:r w:rsidRPr="00813BE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базовый комплект</w:t>
      </w:r>
      <w:r w:rsidRPr="00813B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поставки «АВТОАС-КАРГО» не входят: кабель «SAE J1939», переходник «DB15-CAN R» и переходник «DB15-ECU57». При необходимости их можно приобрести дополнительно, см. строки </w:t>
      </w:r>
      <w:r w:rsidRPr="00813BE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39,40,42</w:t>
      </w:r>
      <w:r w:rsidRPr="00813B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прайс-листа.</w:t>
      </w:r>
    </w:p>
    <w:p w:rsidR="00813BEC" w:rsidRPr="00813BEC" w:rsidRDefault="00813BEC" w:rsidP="0081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90"/>
        <w:gridCol w:w="8890"/>
      </w:tblGrid>
      <w:tr w:rsidR="00813BEC" w:rsidRPr="00813BEC" w:rsidTr="00813BEC">
        <w:trPr>
          <w:trHeight w:val="45"/>
          <w:tblCellSpacing w:w="0" w:type="dxa"/>
        </w:trPr>
        <w:tc>
          <w:tcPr>
            <w:tcW w:w="375" w:type="dxa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CC69E82" wp14:editId="13BA6CFF">
                  <wp:extent cx="238125" cy="28575"/>
                  <wp:effectExtent l="0" t="0" r="0" b="0"/>
                  <wp:docPr id="22" name="Рисунок 22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ABBE6D2" wp14:editId="3ED04839">
                  <wp:extent cx="57150" cy="28575"/>
                  <wp:effectExtent l="0" t="0" r="0" b="0"/>
                  <wp:docPr id="23" name="Рисунок 23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5930165" wp14:editId="2F3077CA">
                  <wp:extent cx="9525" cy="28575"/>
                  <wp:effectExtent l="0" t="0" r="0" b="0"/>
                  <wp:docPr id="24" name="Рисунок 24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BEC" w:rsidRPr="00813BEC" w:rsidTr="00813BEC">
        <w:trPr>
          <w:trHeight w:val="45"/>
          <w:tblCellSpacing w:w="0" w:type="dxa"/>
        </w:trPr>
        <w:tc>
          <w:tcPr>
            <w:tcW w:w="375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3A96A3E" wp14:editId="2569A4E0">
                  <wp:extent cx="238125" cy="28575"/>
                  <wp:effectExtent l="0" t="0" r="0" b="0"/>
                  <wp:docPr id="25" name="Рисунок 25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55D8B3E" wp14:editId="7B5633E2">
                  <wp:extent cx="57150" cy="28575"/>
                  <wp:effectExtent l="0" t="0" r="0" b="9525"/>
                  <wp:docPr id="26" name="Рисунок 26" descr="http://www.acelab.ru/dep.auto/images/tri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acelab.ru/dep.auto/images/tri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0B37E45" wp14:editId="1FE491D9">
                  <wp:extent cx="9525" cy="28575"/>
                  <wp:effectExtent l="0" t="0" r="0" b="0"/>
                  <wp:docPr id="27" name="Рисунок 27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BEC" w:rsidRPr="00813BEC" w:rsidTr="00813BEC">
        <w:trPr>
          <w:trHeight w:val="315"/>
          <w:tblCellSpacing w:w="0" w:type="dxa"/>
        </w:trPr>
        <w:tc>
          <w:tcPr>
            <w:tcW w:w="375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1001879" wp14:editId="77E36FF8">
                  <wp:extent cx="238125" cy="28575"/>
                  <wp:effectExtent l="0" t="0" r="0" b="0"/>
                  <wp:docPr id="28" name="Рисунок 28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shd w:val="clear" w:color="auto" w:fill="F4F4F4"/>
            <w:vAlign w:val="center"/>
            <w:hideMark/>
          </w:tcPr>
          <w:p w:rsidR="00813BEC" w:rsidRPr="00813BEC" w:rsidRDefault="00813BEC" w:rsidP="00813BEC">
            <w:pPr>
              <w:spacing w:before="100" w:beforeAutospacing="1" w:after="15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B40A0"/>
                <w:kern w:val="36"/>
                <w:sz w:val="18"/>
                <w:szCs w:val="18"/>
                <w:lang w:eastAsia="ru-RU"/>
              </w:rPr>
            </w:pPr>
            <w:hyperlink r:id="rId8" w:history="1">
              <w:r w:rsidRPr="00813BEC">
                <w:rPr>
                  <w:rFonts w:ascii="Verdana" w:eastAsia="Times New Roman" w:hAnsi="Verdana" w:cs="Times New Roman"/>
                  <w:b/>
                  <w:bCs/>
                  <w:color w:val="0C58A8"/>
                  <w:kern w:val="36"/>
                  <w:sz w:val="18"/>
                  <w:szCs w:val="18"/>
                  <w:u w:val="single"/>
                  <w:lang w:eastAsia="ru-RU"/>
                </w:rPr>
                <w:t>ПОРТАТИВНЫЙ СКАНЕР “АВТОАС-F16 CAN 24” ДЛЯ ЛЕГКОВЫХ И ГРУЗОВЫХ АВТОМОБИЛЕЙ</w:t>
              </w:r>
            </w:hyperlink>
          </w:p>
        </w:tc>
      </w:tr>
    </w:tbl>
    <w:p w:rsidR="00813BEC" w:rsidRPr="00813BEC" w:rsidRDefault="00813BEC" w:rsidP="00813BE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C3C4C6"/>
          <w:left w:val="outset" w:sz="6" w:space="0" w:color="C3C4C6"/>
          <w:bottom w:val="outset" w:sz="6" w:space="0" w:color="C3C4C6"/>
          <w:right w:val="outset" w:sz="6" w:space="0" w:color="C3C4C6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"/>
        <w:gridCol w:w="2550"/>
        <w:gridCol w:w="5546"/>
        <w:gridCol w:w="768"/>
      </w:tblGrid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Портативный сканер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"АВТОАС-F16 CAN 24"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Мультимарочный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сканер для диагностика отечественных легковых автомобилей ВАЗ, ГАЗ, УАЗ, ИЖ, ЗАЗ; грузовых автомобилей и автобусов КАМАЗ, ГАЗ, МАЗ, Урал, ПАЗ,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ЛиАЗ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распространенных в РФ легковых иномарок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Daewoo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Сhevrolet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KIA,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Ssang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Yong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VAG,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Opel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Renault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Chery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OBD-II.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</w:t>
            </w:r>
            <w:proofErr w:type="gram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поддерживаемых моделей </w:t>
            </w:r>
            <w:hyperlink r:id="rId9" w:history="1">
              <w:r w:rsidRPr="00813BEC">
                <w:rPr>
                  <w:rFonts w:ascii="Verdana" w:eastAsia="Times New Roman" w:hAnsi="Verdana" w:cs="Times New Roman"/>
                  <w:b/>
                  <w:bCs/>
                  <w:color w:val="0C58A8"/>
                  <w:sz w:val="18"/>
                  <w:szCs w:val="18"/>
                  <w:u w:val="single"/>
                  <w:lang w:eastAsia="ru-RU"/>
                </w:rPr>
                <w:t>см. здесь</w:t>
              </w:r>
            </w:hyperlink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13BEC" w:rsidRPr="00813BEC" w:rsidRDefault="00813BEC" w:rsidP="00813BEC">
            <w:pPr>
              <w:spacing w:before="105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комплект входят: кабель «OBD-II 24», кабель для перезаписи диагностических микропрограмм с помощью компьютера (USB-порт), CD-диск с программой-загрузчиком, руководство пользователя.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19950</w:t>
            </w:r>
          </w:p>
        </w:tc>
      </w:tr>
    </w:tbl>
    <w:p w:rsidR="00813BEC" w:rsidRPr="00813BEC" w:rsidRDefault="00813BEC" w:rsidP="00813B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3BE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* - Внимание!</w:t>
      </w:r>
      <w:r w:rsidRPr="00813B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В комплект портативного сканера «АВТОАС-F16 CAN 24» входит только диагностический кабель «OBD-II 24», остальные диагностические кабели приобретаются дополнительно, </w:t>
      </w:r>
      <w:r w:rsidRPr="00813BE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см. строки 30-43</w:t>
      </w:r>
      <w:r w:rsidRPr="00813B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прайс-листа.</w:t>
      </w:r>
    </w:p>
    <w:p w:rsidR="00813BEC" w:rsidRPr="00813BEC" w:rsidRDefault="00813BEC" w:rsidP="0081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90"/>
        <w:gridCol w:w="8890"/>
      </w:tblGrid>
      <w:tr w:rsidR="00813BEC" w:rsidRPr="00813BEC" w:rsidTr="00813BEC">
        <w:trPr>
          <w:trHeight w:val="45"/>
          <w:tblCellSpacing w:w="0" w:type="dxa"/>
        </w:trPr>
        <w:tc>
          <w:tcPr>
            <w:tcW w:w="375" w:type="dxa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BB7BA16" wp14:editId="52218062">
                  <wp:extent cx="238125" cy="28575"/>
                  <wp:effectExtent l="0" t="0" r="0" b="0"/>
                  <wp:docPr id="29" name="Рисунок 29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26ADFEC" wp14:editId="5390D22E">
                  <wp:extent cx="57150" cy="28575"/>
                  <wp:effectExtent l="0" t="0" r="0" b="0"/>
                  <wp:docPr id="30" name="Рисунок 30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91D1303" wp14:editId="2B7DD73A">
                  <wp:extent cx="9525" cy="28575"/>
                  <wp:effectExtent l="0" t="0" r="0" b="0"/>
                  <wp:docPr id="31" name="Рисунок 31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BEC" w:rsidRPr="00813BEC" w:rsidTr="00813BEC">
        <w:trPr>
          <w:trHeight w:val="45"/>
          <w:tblCellSpacing w:w="0" w:type="dxa"/>
        </w:trPr>
        <w:tc>
          <w:tcPr>
            <w:tcW w:w="375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B6F2F5C" wp14:editId="0209C808">
                  <wp:extent cx="238125" cy="28575"/>
                  <wp:effectExtent l="0" t="0" r="0" b="0"/>
                  <wp:docPr id="32" name="Рисунок 32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378C207" wp14:editId="69DB4495">
                  <wp:extent cx="57150" cy="28575"/>
                  <wp:effectExtent l="0" t="0" r="0" b="9525"/>
                  <wp:docPr id="33" name="Рисунок 33" descr="http://www.acelab.ru/dep.auto/images/tri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acelab.ru/dep.auto/images/tri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AB845B5" wp14:editId="2BA4CA2D">
                  <wp:extent cx="9525" cy="28575"/>
                  <wp:effectExtent l="0" t="0" r="0" b="0"/>
                  <wp:docPr id="34" name="Рисунок 34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BEC" w:rsidRPr="00813BEC" w:rsidTr="00813BEC">
        <w:trPr>
          <w:trHeight w:val="315"/>
          <w:tblCellSpacing w:w="0" w:type="dxa"/>
        </w:trPr>
        <w:tc>
          <w:tcPr>
            <w:tcW w:w="375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A570F51" wp14:editId="543D2A05">
                  <wp:extent cx="238125" cy="28575"/>
                  <wp:effectExtent l="0" t="0" r="0" b="0"/>
                  <wp:docPr id="35" name="Рисунок 35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shd w:val="clear" w:color="auto" w:fill="F4F4F4"/>
            <w:vAlign w:val="center"/>
            <w:hideMark/>
          </w:tcPr>
          <w:p w:rsidR="00813BEC" w:rsidRPr="00813BEC" w:rsidRDefault="00813BEC" w:rsidP="00813BEC">
            <w:pPr>
              <w:spacing w:before="100" w:beforeAutospacing="1" w:after="15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B40A0"/>
                <w:kern w:val="36"/>
                <w:sz w:val="18"/>
                <w:szCs w:val="18"/>
                <w:lang w:eastAsia="ru-RU"/>
              </w:rPr>
            </w:pPr>
            <w:hyperlink r:id="rId10" w:history="1">
              <w:r w:rsidRPr="00813BEC">
                <w:rPr>
                  <w:rFonts w:ascii="Verdana" w:eastAsia="Times New Roman" w:hAnsi="Verdana" w:cs="Times New Roman"/>
                  <w:b/>
                  <w:bCs/>
                  <w:color w:val="0C58A8"/>
                  <w:kern w:val="36"/>
                  <w:sz w:val="18"/>
                  <w:szCs w:val="18"/>
                  <w:u w:val="single"/>
                  <w:lang w:eastAsia="ru-RU"/>
                </w:rPr>
                <w:t>ДВУХКАНАЛЬНАЯ USB-ПРИСТАВКА «АВТОАС-ЭКСПРЕСС 2» ДЛЯ ДИАГНОСТИКИ ДВИГАТЕЛЯ (МОТОР-ТЕСТЕР)</w:t>
              </w:r>
            </w:hyperlink>
          </w:p>
        </w:tc>
      </w:tr>
    </w:tbl>
    <w:p w:rsidR="00813BEC" w:rsidRPr="00813BEC" w:rsidRDefault="00813BEC" w:rsidP="00813BE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Работает под управлением ПК, ноутбука, планшета с USB 2.0 (</w:t>
      </w:r>
      <w:proofErr w:type="spellStart"/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High</w:t>
      </w:r>
      <w:proofErr w:type="spellEnd"/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Speed</w:t>
      </w:r>
      <w:proofErr w:type="spellEnd"/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и ОС </w:t>
      </w:r>
      <w:proofErr w:type="spellStart"/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Windows</w:t>
      </w:r>
      <w:proofErr w:type="spellEnd"/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XP/VISTA/7/8/10 (х32/х64)</w:t>
      </w:r>
    </w:p>
    <w:tbl>
      <w:tblPr>
        <w:tblW w:w="5000" w:type="pct"/>
        <w:tblCellSpacing w:w="0" w:type="dxa"/>
        <w:tblBorders>
          <w:top w:val="outset" w:sz="6" w:space="0" w:color="C3C4C6"/>
          <w:left w:val="outset" w:sz="6" w:space="0" w:color="C3C4C6"/>
          <w:bottom w:val="outset" w:sz="6" w:space="0" w:color="C3C4C6"/>
          <w:right w:val="outset" w:sz="6" w:space="0" w:color="C3C4C6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5"/>
        <w:gridCol w:w="2550"/>
        <w:gridCol w:w="5536"/>
        <w:gridCol w:w="768"/>
      </w:tblGrid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Двухканальная USB-приставка (мотор-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тестер)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«АВТОАС-ЭКСПРЕСС </w:t>
            </w:r>
            <w:proofErr w:type="gram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2»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NEW</w:t>
            </w:r>
            <w:proofErr w:type="gramEnd"/>
            <w:r w:rsidRPr="00813BEC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 комплект поставки входят: USB-приставка «АВТОАС-ЭКСПРЕСС 2», емкостный экспресс-датчик, индуктивный экспресс-датчик, щуп-делитель 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напряжения 2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провод заземления, кабель «сумматор сигналов 1+1», игольчатый адаптер 4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инсталляционный CD-диск.</w:t>
            </w:r>
          </w:p>
          <w:p w:rsidR="00813BEC" w:rsidRPr="00813BEC" w:rsidRDefault="00813BEC" w:rsidP="00813B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Защищен патентом РФ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14950</w:t>
            </w:r>
          </w:p>
        </w:tc>
      </w:tr>
    </w:tbl>
    <w:p w:rsidR="00813BEC" w:rsidRPr="00813BEC" w:rsidRDefault="00813BEC" w:rsidP="00813B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813BEC" w:rsidRPr="00813BEC" w:rsidRDefault="00813BEC" w:rsidP="00813B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3B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Дополнительные опции для «АВТОАС-ЭКСПРЕСС», «АВТОАС-ЭКСПРЕСС M», «АВТОАС-ЭКСПРЕСС 2»</w:t>
      </w:r>
    </w:p>
    <w:tbl>
      <w:tblPr>
        <w:tblW w:w="5000" w:type="pct"/>
        <w:tblCellSpacing w:w="0" w:type="dxa"/>
        <w:tblBorders>
          <w:top w:val="outset" w:sz="6" w:space="0" w:color="C3C4C6"/>
          <w:left w:val="outset" w:sz="6" w:space="0" w:color="C3C4C6"/>
          <w:bottom w:val="outset" w:sz="6" w:space="0" w:color="C3C4C6"/>
          <w:right w:val="outset" w:sz="6" w:space="0" w:color="C3C4C6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"/>
        <w:gridCol w:w="2550"/>
        <w:gridCol w:w="5546"/>
        <w:gridCol w:w="768"/>
      </w:tblGrid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Датчик давления в цилиндре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«ДДЦ 16 БАР»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контроля состояния механической части автомобильных двигателей с искровым зажиганием, путем регистрации графика давления газов в одном из цилиндров работающего двигателя, без воспламенения топливовоздушной смеси в цилиндре, а так же в режиме стартерной прокрутки. В комплект поставки датчика входят: стальной свечной удлинитель (100мм) 2 шт.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9100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Активный экспресс датчик зажигания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бесконтактного контроля формы сигналов в электрических цепях системы зажигания, а так же в электрических цепях других элементов системы управления ДВС с низкой напряженностью внешнего электромагнитного поля. Например для контроля сигналов в первичной цепи индивидуальных катушек зажигания.</w:t>
            </w:r>
          </w:p>
          <w:p w:rsidR="00813BEC" w:rsidRPr="00813BEC" w:rsidRDefault="00813BEC" w:rsidP="00813B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Защищен патентом РФ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4450</w:t>
            </w:r>
          </w:p>
        </w:tc>
      </w:tr>
    </w:tbl>
    <w:p w:rsidR="00813BEC" w:rsidRPr="00813BEC" w:rsidRDefault="00813BEC" w:rsidP="0081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90"/>
        <w:gridCol w:w="8890"/>
      </w:tblGrid>
      <w:tr w:rsidR="00813BEC" w:rsidRPr="00813BEC" w:rsidTr="00813BEC">
        <w:trPr>
          <w:trHeight w:val="45"/>
          <w:tblCellSpacing w:w="0" w:type="dxa"/>
        </w:trPr>
        <w:tc>
          <w:tcPr>
            <w:tcW w:w="375" w:type="dxa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8F352BF" wp14:editId="6CC63A6E">
                  <wp:extent cx="238125" cy="28575"/>
                  <wp:effectExtent l="0" t="0" r="0" b="0"/>
                  <wp:docPr id="36" name="Рисунок 36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9BA2554" wp14:editId="751E33B0">
                  <wp:extent cx="57150" cy="28575"/>
                  <wp:effectExtent l="0" t="0" r="0" b="0"/>
                  <wp:docPr id="37" name="Рисунок 37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536ED59" wp14:editId="66AC8D19">
                  <wp:extent cx="9525" cy="28575"/>
                  <wp:effectExtent l="0" t="0" r="0" b="0"/>
                  <wp:docPr id="38" name="Рисунок 38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BEC" w:rsidRPr="00813BEC" w:rsidTr="00813BEC">
        <w:trPr>
          <w:trHeight w:val="45"/>
          <w:tblCellSpacing w:w="0" w:type="dxa"/>
        </w:trPr>
        <w:tc>
          <w:tcPr>
            <w:tcW w:w="375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73C1D0A" wp14:editId="0972EECC">
                  <wp:extent cx="238125" cy="28575"/>
                  <wp:effectExtent l="0" t="0" r="0" b="0"/>
                  <wp:docPr id="39" name="Рисунок 39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832DAD4" wp14:editId="17F40304">
                  <wp:extent cx="57150" cy="28575"/>
                  <wp:effectExtent l="0" t="0" r="0" b="9525"/>
                  <wp:docPr id="40" name="Рисунок 40" descr="http://www.acelab.ru/dep.auto/images/tri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acelab.ru/dep.auto/images/tri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201DAD1" wp14:editId="155FFB78">
                  <wp:extent cx="9525" cy="28575"/>
                  <wp:effectExtent l="0" t="0" r="0" b="0"/>
                  <wp:docPr id="41" name="Рисунок 41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BEC" w:rsidRPr="00813BEC" w:rsidTr="00813BEC">
        <w:trPr>
          <w:trHeight w:val="315"/>
          <w:tblCellSpacing w:w="0" w:type="dxa"/>
        </w:trPr>
        <w:tc>
          <w:tcPr>
            <w:tcW w:w="375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C348207" wp14:editId="0583D855">
                  <wp:extent cx="238125" cy="28575"/>
                  <wp:effectExtent l="0" t="0" r="0" b="0"/>
                  <wp:docPr id="42" name="Рисунок 42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shd w:val="clear" w:color="auto" w:fill="F4F4F4"/>
            <w:vAlign w:val="center"/>
            <w:hideMark/>
          </w:tcPr>
          <w:p w:rsidR="00813BEC" w:rsidRPr="00813BEC" w:rsidRDefault="00813BEC" w:rsidP="00813BEC">
            <w:pPr>
              <w:spacing w:before="100" w:beforeAutospacing="1" w:after="15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B40A0"/>
                <w:kern w:val="36"/>
                <w:sz w:val="18"/>
                <w:szCs w:val="18"/>
                <w:lang w:eastAsia="ru-RU"/>
              </w:rPr>
            </w:pPr>
            <w:hyperlink r:id="rId11" w:history="1">
              <w:r w:rsidRPr="00813BEC">
                <w:rPr>
                  <w:rFonts w:ascii="Verdana" w:eastAsia="Times New Roman" w:hAnsi="Verdana" w:cs="Times New Roman"/>
                  <w:b/>
                  <w:bCs/>
                  <w:color w:val="0C58A8"/>
                  <w:kern w:val="36"/>
                  <w:sz w:val="18"/>
                  <w:szCs w:val="18"/>
                  <w:u w:val="single"/>
                  <w:lang w:eastAsia="ru-RU"/>
                </w:rPr>
                <w:t>ОПЦИИ «АВТОАС-СКАН» (Для индивидуальной комплектации «АВТОАС-СКАН» и докупки новых программных модулей)</w:t>
              </w:r>
            </w:hyperlink>
          </w:p>
        </w:tc>
      </w:tr>
    </w:tbl>
    <w:p w:rsidR="00813BEC" w:rsidRPr="00813BEC" w:rsidRDefault="00813BEC" w:rsidP="00813BE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bookmarkStart w:id="0" w:name="VAZ"/>
      <w:bookmarkEnd w:id="0"/>
    </w:p>
    <w:tbl>
      <w:tblPr>
        <w:tblW w:w="5000" w:type="pct"/>
        <w:tblCellSpacing w:w="0" w:type="dxa"/>
        <w:tblBorders>
          <w:top w:val="outset" w:sz="6" w:space="0" w:color="C3C4C6"/>
          <w:left w:val="outset" w:sz="6" w:space="0" w:color="C3C4C6"/>
          <w:bottom w:val="outset" w:sz="6" w:space="0" w:color="C3C4C6"/>
          <w:right w:val="outset" w:sz="6" w:space="0" w:color="C3C4C6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5"/>
        <w:gridCol w:w="2550"/>
        <w:gridCol w:w="5427"/>
        <w:gridCol w:w="897"/>
      </w:tblGrid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Адаптер «USB-ECU AS 3»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Адаптер 5-го поколения для связи компьютера с программой «АВТОАС-СКАН» с электронными блоками управления (ЭБУ) автомобилей. «USB-ECU AS 3» поддерживает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основные автомобильные диагностические интерфейсы: </w:t>
            </w:r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K,L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Line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ISO 9141-2, ISO 14230-4 (KWP-2000), ALDL, J1850 PWM, J1850VPWM, CAN (ISO11898), диагностику автомобилей с бортовым напряжением 12В и 24В. В комплект поставки адаптера входит кабель USB2.0, 3м.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7950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«USB-ECU AS 3» 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Upgrade</w:t>
            </w:r>
            <w:proofErr w:type="spellEnd"/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пользователей «АВТОАС-СКАН». Замена адаптеров «COM-ЭБУ», «USB-ECU AS», «USB-ECU AS 2», «USB-ECU AS 24» на новый адаптер “USB-ECU AS 3</w:t>
            </w:r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”.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Внимание</w:t>
            </w:r>
            <w:proofErr w:type="gram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! Программные модули открытые в старом адаптере переносятся в новый бесплатно.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7950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Пакет «АВТОАС-СКАН-FULL» 20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модулей</w:t>
            </w:r>
            <w:proofErr w:type="gramEnd"/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Комплект программных модулей: «ВАЗ», «ГАЗ», «УАЗ», «ЗАЗ», «ИЖ»,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Daewoo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«KIA»,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Ssang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Yong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Opel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Renault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«VAG»,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Ford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Fiat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-RUS»,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Mazda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Subaru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China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«OBD-II».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ru-RU"/>
              </w:rPr>
              <w:lastRenderedPageBreak/>
              <w:t>20950</w:t>
            </w:r>
          </w:p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lastRenderedPageBreak/>
              <w:t>Акция!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br/>
              <w:t>16300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Пакет «АВТОАС-СКАН-RUS» 6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модулей</w:t>
            </w:r>
            <w:proofErr w:type="gramEnd"/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Комплект программных модулей: «ВАЗ», «ГАЗ», «УАЗ», «ЗАЗ», «ИЖ», «OBD-II».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ru-RU"/>
              </w:rPr>
              <w:t>7400</w:t>
            </w:r>
          </w:p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Акция!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br/>
              <w:t>3200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Пакет «АВТОАС-СКАН-INO» 15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модулей</w:t>
            </w:r>
            <w:proofErr w:type="gramEnd"/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Комплект программных модулей: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Daewoo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«KIA»,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Ssang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Yong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Opel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Renault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«VAG»,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Ford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Fiat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-RUS»,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Mazda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Subaru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China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«OBD-II».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15950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модуль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«ВАЗ»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диагностики всех моделей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ВАЗ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Все модели, все функции диагностики.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12" w:anchor="VAZ" w:history="1"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eastAsia="ru-RU"/>
                </w:rPr>
                <w:t>Таблица покрытия</w:t>
              </w:r>
            </w:hyperlink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ru-RU"/>
              </w:rPr>
              <w:t>3950</w:t>
            </w:r>
          </w:p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Акция!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br/>
              <w:t>3200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модули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«ГАЗ»+«УАЗ»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диагностики всех моделей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 и УАЗ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Все модели, все функции диагностики. Включая диагностику двигателей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Cummins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ISF Eвро-3/Евро-4 (на уровне дилерского </w:t>
            </w:r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сканера)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13" w:anchor="GAZ" w:history="1"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eastAsia="ru-RU"/>
                </w:rPr>
                <w:t>Таблица</w:t>
              </w:r>
              <w:proofErr w:type="gramEnd"/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eastAsia="ru-RU"/>
                </w:rPr>
                <w:t xml:space="preserve"> покрытия ГАЗ</w:t>
              </w:r>
            </w:hyperlink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14" w:anchor="UAZ" w:history="1"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eastAsia="ru-RU"/>
                </w:rPr>
                <w:t>Таблица покрытия УАЗ</w:t>
              </w:r>
            </w:hyperlink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ru-RU"/>
              </w:rPr>
              <w:t>3950</w:t>
            </w:r>
          </w:p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Акция!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br/>
              <w:t>3200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модуль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Fiat-Rus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Для диагностики дизельных двигателей (F1A, JTD 2.3, 110л.с и 120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л.с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.) коммерческих автомобилей 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Fiat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Ducato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2007-...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г.в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15" w:history="1"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eastAsia="ru-RU"/>
                </w:rPr>
                <w:t xml:space="preserve">Таблица </w:t>
              </w:r>
              <w:proofErr w:type="spellStart"/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eastAsia="ru-RU"/>
                </w:rPr>
                <w:t>прокрытия</w:t>
              </w:r>
              <w:proofErr w:type="spellEnd"/>
            </w:hyperlink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модуль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Daewoo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диагностики а/м 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Daewoo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Aveo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Cielo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Espero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Evanda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Epica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Kalos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Lacetti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Lanos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Leganza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Leman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Matiz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Nexia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Nubira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Nubira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II,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Prince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Racer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Rezzo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Spark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Tacuma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Cruze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UZ-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Daewoo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Nexia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Matiz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Gentra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 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ТаГАЗ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(Донинвест)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Ассоль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Орион, Кондор.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16" w:history="1"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eastAsia="ru-RU"/>
                </w:rPr>
                <w:t>Таблица покрытия</w:t>
              </w:r>
            </w:hyperlink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модуль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диагностики а/м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HYUNDAI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Accent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Sonata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Santa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Fe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 ,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Santa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Fe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Classic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(ТАГАЗ),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Santa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Fe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II,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Getz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Matrix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Tucson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Elantra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III,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Elantra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IV,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Elantra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V,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Solaris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Verna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I30, I40, IХ35, IХ55, H1, автобус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County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(D4DD, D4GA), автобус Богдан А20111, HD-65 (D4DD, D4GA), HD-68 (D4DD, D4GA)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17" w:anchor="Cars" w:history="1"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eastAsia="ru-RU"/>
                </w:rPr>
                <w:t>Таблица покрытия</w:t>
              </w:r>
            </w:hyperlink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модуль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«KIA»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диагностики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KIA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 Spectra (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Ижевск</w:t>
            </w:r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) ,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Sorento I, Cee`d I, Cee`d II, Cerato II, Rio III, Sportage III.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br/>
            </w:r>
            <w:hyperlink r:id="rId18" w:history="1"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eastAsia="ru-RU"/>
                </w:rPr>
                <w:t>Таблица покрытия</w:t>
              </w:r>
            </w:hyperlink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модуль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Ssang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Yong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диагностики а/м 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Ssang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Yong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Korando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Kyron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Rexton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New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Actyon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Road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Partner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(ТАГАЗ),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Tager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(ТАГАЗ)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19" w:history="1"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eastAsia="ru-RU"/>
                </w:rPr>
                <w:t>Таблица покрытия</w:t>
              </w:r>
            </w:hyperlink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модуль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«VAG»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диагностики а/м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VOLKSWAGEN AG (VW,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Audi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Skoda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Seat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Porsche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др.) с 1989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г.в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 -...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Поддерживаются цифровые протоколы VAG: KWP-1281, KWP-2000, CAN, CAN TP 1.6 KWP-1281, CAN TP 1.6 KWP-2000.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20" w:history="1"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eastAsia="ru-RU"/>
                </w:rPr>
                <w:t>Описание модуля</w:t>
              </w:r>
            </w:hyperlink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модули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«FORD»+«MAZDA»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диагностики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FORD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 Focus-II, C-Max, Mondeo IV, Fiesta III, Kuga, Tranzit IV.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MAZDA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 Mazda 3, Mazda 6, Familia, MPV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br/>
            </w:r>
            <w:hyperlink r:id="rId21" w:history="1"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eastAsia="ru-RU"/>
                </w:rPr>
                <w:t>Таблица</w:t>
              </w:r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val="en-US" w:eastAsia="ru-RU"/>
                </w:rPr>
                <w:t xml:space="preserve"> </w:t>
              </w:r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eastAsia="ru-RU"/>
                </w:rPr>
                <w:t>покрытия</w:t>
              </w:r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val="en-US" w:eastAsia="ru-RU"/>
                </w:rPr>
                <w:t xml:space="preserve"> Ford</w:t>
              </w:r>
            </w:hyperlink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br/>
            </w:r>
            <w:hyperlink r:id="rId22" w:history="1"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eastAsia="ru-RU"/>
                </w:rPr>
                <w:t>Таблица</w:t>
              </w:r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val="en-US" w:eastAsia="ru-RU"/>
                </w:rPr>
                <w:t xml:space="preserve"> </w:t>
              </w:r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eastAsia="ru-RU"/>
                </w:rPr>
                <w:t>покрытия</w:t>
              </w:r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val="en-US" w:eastAsia="ru-RU"/>
                </w:rPr>
                <w:t xml:space="preserve"> Mazda</w:t>
              </w:r>
            </w:hyperlink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модуль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«OPEL»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диагностики а/м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OPEL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 AGILA, ASCONA-C, ASTRA-F, ASTRA-G, ASTRA-Н, CALIBRA, CORSA-A, CORSA-B, CORSA-C, CORSA-D, FRONTERA-A, KADETT-E, MERIVA, OMEGA-A, OMEGA-B, SENATOR-B, SINTRA, TIGRA, VECTRA-A, VECTRA-B, VECTRA-C, ZAFIRA-A, ZAFIRA-B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23" w:history="1"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eastAsia="ru-RU"/>
                </w:rPr>
                <w:t>Таблица покрытия</w:t>
              </w:r>
            </w:hyperlink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модуль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Renault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диагностики а/м 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Renault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Logan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Sandero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Symbol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Symbol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-II,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Kangоo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Megan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-II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24" w:history="1"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eastAsia="ru-RU"/>
                </w:rPr>
                <w:t>Таблица покрытия</w:t>
              </w:r>
            </w:hyperlink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модуль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диагностики а/м 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Avensis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bB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Caldina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Corolla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Corolla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Fielder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Camry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5,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Camry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6,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Celica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Echo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Fortuner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Hilux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Pick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Up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Hilux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Surf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II,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Hilux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Surf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III,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Land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Cruizer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100,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Land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Cruizer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Prado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Mark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II,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Echo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MR2, RAV-4 II,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Voltz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Lexus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RX-300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25" w:history="1"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eastAsia="ru-RU"/>
                </w:rPr>
                <w:t>Таблица покрытия</w:t>
              </w:r>
            </w:hyperlink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модуль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диагностики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Nissan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 Almera II, Elgrand (E51), Micra, Primera, Qashqai, Teana II, X-Trail II.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br/>
            </w:r>
            <w:hyperlink r:id="rId26" w:history="1"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eastAsia="ru-RU"/>
                </w:rPr>
                <w:t>Таблица покрытия</w:t>
              </w:r>
            </w:hyperlink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модуль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«SUBARU»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диагностики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Subaru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 Forester, Impreza, Legacy, Outback.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br/>
            </w:r>
            <w:hyperlink r:id="rId27" w:history="1"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eastAsia="ru-RU"/>
                </w:rPr>
                <w:t>Таблица покрытия</w:t>
              </w:r>
            </w:hyperlink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модуль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Сhina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диагностики а/м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ВYD: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F3; 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Chery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Amulet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Fora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Kimo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Tiggo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QQ, QQ6; 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Geely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MK, MK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Cross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 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Great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Wall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Hover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H3,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Hover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H5; 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Lifan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320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Smily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520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Breez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620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Solano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 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ТаГАЗ</w:t>
            </w:r>
            <w:proofErr w:type="spell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Vortex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Estina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Vortex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Tingo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 </w:t>
            </w:r>
            <w:hyperlink r:id="rId28" w:history="1"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eastAsia="ru-RU"/>
                </w:rPr>
                <w:t>Таблица покрытия</w:t>
              </w:r>
            </w:hyperlink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модуль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«OBD-II»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диагностики двигателей и АКПП а/м выпущенных для США (с 1996г.), для ЕС (с 2001г.) по протоколу OBD-II и EOBD. 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протоколы ISO 9141-2, ISO 14230-4, J1850PWM, J1850VPWM, CAN (IS0 15765-4</w:t>
            </w:r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29" w:history="1"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eastAsia="ru-RU"/>
                </w:rPr>
                <w:t>Описание</w:t>
              </w:r>
              <w:proofErr w:type="gramEnd"/>
              <w:r w:rsidRPr="00813BEC">
                <w:rPr>
                  <w:rFonts w:ascii="Verdana" w:eastAsia="Times New Roman" w:hAnsi="Verdana" w:cs="Times New Roman"/>
                  <w:color w:val="0C58A8"/>
                  <w:sz w:val="18"/>
                  <w:szCs w:val="18"/>
                  <w:u w:val="single"/>
                  <w:lang w:eastAsia="ru-RU"/>
                </w:rPr>
                <w:t xml:space="preserve"> модуля</w:t>
              </w:r>
            </w:hyperlink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</w:tbl>
    <w:p w:rsidR="00813BEC" w:rsidRPr="00813BEC" w:rsidRDefault="00813BEC" w:rsidP="0081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90"/>
        <w:gridCol w:w="8890"/>
      </w:tblGrid>
      <w:tr w:rsidR="00813BEC" w:rsidRPr="00813BEC" w:rsidTr="00813BEC">
        <w:trPr>
          <w:trHeight w:val="45"/>
          <w:tblCellSpacing w:w="0" w:type="dxa"/>
        </w:trPr>
        <w:tc>
          <w:tcPr>
            <w:tcW w:w="375" w:type="dxa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56D3B49" wp14:editId="41AA6817">
                  <wp:extent cx="238125" cy="28575"/>
                  <wp:effectExtent l="0" t="0" r="0" b="0"/>
                  <wp:docPr id="43" name="Рисунок 43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A8812FF" wp14:editId="3CC1A999">
                  <wp:extent cx="57150" cy="28575"/>
                  <wp:effectExtent l="0" t="0" r="0" b="0"/>
                  <wp:docPr id="44" name="Рисунок 44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14D924F" wp14:editId="2F9DFDAB">
                  <wp:extent cx="9525" cy="28575"/>
                  <wp:effectExtent l="0" t="0" r="0" b="0"/>
                  <wp:docPr id="45" name="Рисунок 45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BEC" w:rsidRPr="00813BEC" w:rsidTr="00813BEC">
        <w:trPr>
          <w:trHeight w:val="45"/>
          <w:tblCellSpacing w:w="0" w:type="dxa"/>
        </w:trPr>
        <w:tc>
          <w:tcPr>
            <w:tcW w:w="375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7F2BA16" wp14:editId="3199E80A">
                  <wp:extent cx="238125" cy="28575"/>
                  <wp:effectExtent l="0" t="0" r="0" b="0"/>
                  <wp:docPr id="46" name="Рисунок 46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5D9D295" wp14:editId="7ABF6F81">
                  <wp:extent cx="57150" cy="28575"/>
                  <wp:effectExtent l="0" t="0" r="0" b="9525"/>
                  <wp:docPr id="47" name="Рисунок 47" descr="http://www.acelab.ru/dep.auto/images/tri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acelab.ru/dep.auto/images/tri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07069E3" wp14:editId="4A5ABC94">
                  <wp:extent cx="9525" cy="28575"/>
                  <wp:effectExtent l="0" t="0" r="0" b="0"/>
                  <wp:docPr id="48" name="Рисунок 48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BEC" w:rsidRPr="00813BEC" w:rsidTr="00813BEC">
        <w:trPr>
          <w:trHeight w:val="315"/>
          <w:tblCellSpacing w:w="0" w:type="dxa"/>
        </w:trPr>
        <w:tc>
          <w:tcPr>
            <w:tcW w:w="375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39ACF13" wp14:editId="405167DE">
                  <wp:extent cx="238125" cy="28575"/>
                  <wp:effectExtent l="0" t="0" r="0" b="0"/>
                  <wp:docPr id="49" name="Рисунок 49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shd w:val="clear" w:color="auto" w:fill="F4F4F4"/>
            <w:vAlign w:val="center"/>
            <w:hideMark/>
          </w:tcPr>
          <w:p w:rsidR="00813BEC" w:rsidRPr="00813BEC" w:rsidRDefault="00813BEC" w:rsidP="00813BEC">
            <w:pPr>
              <w:spacing w:before="100" w:beforeAutospacing="1" w:after="15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B40A0"/>
                <w:kern w:val="36"/>
                <w:sz w:val="18"/>
                <w:szCs w:val="18"/>
                <w:lang w:eastAsia="ru-RU"/>
              </w:rPr>
            </w:pPr>
            <w:hyperlink r:id="rId30" w:history="1">
              <w:r w:rsidRPr="00813BEC">
                <w:rPr>
                  <w:rFonts w:ascii="Verdana" w:eastAsia="Times New Roman" w:hAnsi="Verdana" w:cs="Times New Roman"/>
                  <w:b/>
                  <w:bCs/>
                  <w:color w:val="0C58A8"/>
                  <w:kern w:val="36"/>
                  <w:sz w:val="18"/>
                  <w:szCs w:val="18"/>
                  <w:u w:val="single"/>
                  <w:lang w:eastAsia="ru-RU"/>
                </w:rPr>
                <w:t>Диагностические кабели c разъемом DB15 для «АВТОАС-СКАН», «АВТОАС-КАРГО», «АВТОАС-F16 CAN 24»</w:t>
              </w:r>
            </w:hyperlink>
          </w:p>
        </w:tc>
      </w:tr>
    </w:tbl>
    <w:p w:rsidR="00813BEC" w:rsidRPr="00813BEC" w:rsidRDefault="00813BEC" w:rsidP="00813BE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C3C4C6"/>
          <w:left w:val="outset" w:sz="6" w:space="0" w:color="C3C4C6"/>
          <w:bottom w:val="outset" w:sz="6" w:space="0" w:color="C3C4C6"/>
          <w:right w:val="outset" w:sz="6" w:space="0" w:color="C3C4C6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8"/>
        <w:gridCol w:w="2550"/>
        <w:gridCol w:w="5513"/>
        <w:gridCol w:w="768"/>
      </w:tblGrid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Кабель </w:t>
            </w:r>
            <w:proofErr w:type="spellStart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диагн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«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OBD-II 24»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подключения к диагностическому разъему типа ОВD-II автомобилей с бортовым напряжением 12В и 24В.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Используется с «АВТОАС-СКАН», «АВТОАС-КАРГО», «АВТОАС-F16 CAN 24».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Кабель </w:t>
            </w:r>
            <w:proofErr w:type="spellStart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диагн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«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ВАЗ 24»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подключения к разъему диагностики а/м ВАЗ, ЗАЗ, DAEWOO (типа GM, 12 контактов</w:t>
            </w:r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Используется</w:t>
            </w:r>
            <w:proofErr w:type="gram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 «АВТОАС-СКАН», «АВТОАС-F16 CAN 24».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Кабель </w:t>
            </w:r>
            <w:proofErr w:type="spellStart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диагн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«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ГАЗ 24»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подключения к разъему диагностики а/м ГАЗ, УАЗ (12 контактов</w:t>
            </w:r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Используется</w:t>
            </w:r>
            <w:proofErr w:type="gram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 «АВТОАС-СКАН», «АВТОАС-F16 CAN 24».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Кабель </w:t>
            </w:r>
            <w:proofErr w:type="spellStart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диагн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«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ГАЗ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Steyr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24»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Для подключения к разъему диагностики а/м ГАЗ с дизельным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двиг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ГАЗ-560 (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Steyr</w:t>
            </w:r>
            <w:proofErr w:type="spellEnd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Используется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«АВТОАС-СКАН», «АВТОАС-F16 CAN 24»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Кабель </w:t>
            </w:r>
            <w:proofErr w:type="spellStart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диагн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«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VAG 24»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Для подключения к диагностическим разъемам а/м VAG (VW,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Audi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 до 1995 г.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Используется с «АВТОАС-СКАН», «АВТОАС-F16 CAN 24».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Кабель </w:t>
            </w:r>
            <w:proofErr w:type="spellStart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диагн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«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OPEL 24»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подключения к диагностическому разъему а/м OPEL (10 контактов) до 1995 г.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Используется с «АВТОАС-СКАН», «АВТОАС-F16 CAN 24».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Кабель </w:t>
            </w:r>
            <w:proofErr w:type="spellStart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диагн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«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K-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Line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24»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Кабель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cо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сменными щупами K-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Line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подключения к KIA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Spectra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Chery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Amulet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ГАЗ ABS BOSCH 5.3, двигатели D4DD, доп. системы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Daewoo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доп. системы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Используется с «АВТОАС-СКАН», «АВТОАС-F16 CAN 24».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Кабель </w:t>
            </w:r>
            <w:proofErr w:type="spellStart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диагн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«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 24»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Предназначен для подключения к линиям среднескоростной шины MSCAN и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низкоростной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шины SWCAN в разъеме диагностики OBD-II а/м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Ford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Mazda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Opel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Используется только с «АВТОАС-СКАН»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Кабель </w:t>
            </w:r>
            <w:proofErr w:type="spellStart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диагн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«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MB 24»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Кабель со сменными щупами для подключения к диагностическим разъемам старых моделей а/м MERCEDES (38-pin, 16-pin, 9-pin, 8-pin</w:t>
            </w:r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Используется</w:t>
            </w:r>
            <w:proofErr w:type="gramEnd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только с «АВТОАС-F16 CAN 24».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Кабель </w:t>
            </w:r>
            <w:proofErr w:type="spellStart"/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диагн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«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SAE J1939»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Для подключения к диагностическому разъему типа SAE J1939 автомобилей КАМАЗ, автобусов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ЛиАЗ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ПАЗ,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НефАЗ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КАвЗ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двигателем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Cummins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ISBe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Евро-3.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Используется только с «АВТОАС-КАРГО».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Переходник «DB15-CANR»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Переходник для подключения к шине CAN двигателей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Cummins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ISF2.8 Евро-3 (Газель) без нагрузочного сопротивления 120 Ом.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Используется с «АВТОАС-СКАН», «АВТОАС-КАРГО».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Переходник «DB15-D4</w:t>
            </w:r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DD»</w:t>
            </w:r>
            <w:r w:rsidRPr="00813BEC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NEW</w:t>
            </w:r>
            <w:proofErr w:type="gramEnd"/>
            <w:r w:rsidRPr="00813BEC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Переходник для подключения к диагностическому разъему автомобилей HYUNDAI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County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HD-65, HD-78 с дизельным двигателем D4DD CRDI Евро-3.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Используется с «АВТОАС-СКАН», «АВТОАС-F16 CAN 24».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Переходник «DB15-ECU57»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Переходник для подключения к диагностическому разъему автомобилей с двигателями ЯМЗ 656 Е3, ЯМЗ 658 E3 c ЭБУ Элара 50.3763.</w:t>
            </w: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Используется с «АВТОАС-F16 CAN 24», «АВТОАС-КАРГО».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5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Переходник «DHC15-DB15»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Переходник для подключения диагностических кабелей с разъёмом DB15 к адаптеру «USB-ECU AS» и портативным сканерам «АВТОАС-F16», «АВТОАС-F16 CAN».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</w:tbl>
    <w:p w:rsidR="00813BEC" w:rsidRPr="00813BEC" w:rsidRDefault="00813BEC" w:rsidP="0081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90"/>
        <w:gridCol w:w="8890"/>
      </w:tblGrid>
      <w:tr w:rsidR="00813BEC" w:rsidRPr="00813BEC" w:rsidTr="00813BEC">
        <w:trPr>
          <w:trHeight w:val="45"/>
          <w:tblCellSpacing w:w="0" w:type="dxa"/>
        </w:trPr>
        <w:tc>
          <w:tcPr>
            <w:tcW w:w="375" w:type="dxa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5071327" wp14:editId="1FFCC3A7">
                  <wp:extent cx="238125" cy="28575"/>
                  <wp:effectExtent l="0" t="0" r="0" b="0"/>
                  <wp:docPr id="50" name="Рисунок 50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B7678F0" wp14:editId="2E78B9FB">
                  <wp:extent cx="57150" cy="28575"/>
                  <wp:effectExtent l="0" t="0" r="0" b="0"/>
                  <wp:docPr id="51" name="Рисунок 51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3C4C6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B0A6AC1" wp14:editId="7E0F63B7">
                  <wp:extent cx="9525" cy="28575"/>
                  <wp:effectExtent l="0" t="0" r="0" b="0"/>
                  <wp:docPr id="52" name="Рисунок 52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BEC" w:rsidRPr="00813BEC" w:rsidTr="00813BEC">
        <w:trPr>
          <w:trHeight w:val="45"/>
          <w:tblCellSpacing w:w="0" w:type="dxa"/>
        </w:trPr>
        <w:tc>
          <w:tcPr>
            <w:tcW w:w="375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9AE203D" wp14:editId="6F3D9011">
                  <wp:extent cx="238125" cy="28575"/>
                  <wp:effectExtent l="0" t="0" r="0" b="0"/>
                  <wp:docPr id="53" name="Рисунок 53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817B1DB" wp14:editId="6287AA61">
                  <wp:extent cx="57150" cy="28575"/>
                  <wp:effectExtent l="0" t="0" r="0" b="9525"/>
                  <wp:docPr id="54" name="Рисунок 54" descr="http://www.acelab.ru/dep.auto/images/tri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www.acelab.ru/dep.auto/images/tri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00EF567" wp14:editId="7C1850E8">
                  <wp:extent cx="9525" cy="28575"/>
                  <wp:effectExtent l="0" t="0" r="0" b="0"/>
                  <wp:docPr id="55" name="Рисунок 55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BEC" w:rsidRPr="00813BEC" w:rsidTr="00813BEC">
        <w:trPr>
          <w:trHeight w:val="315"/>
          <w:tblCellSpacing w:w="0" w:type="dxa"/>
        </w:trPr>
        <w:tc>
          <w:tcPr>
            <w:tcW w:w="375" w:type="dxa"/>
            <w:shd w:val="clear" w:color="auto" w:fill="F4F4F4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8E937E6" wp14:editId="3EEFE444">
                  <wp:extent cx="238125" cy="28575"/>
                  <wp:effectExtent l="0" t="0" r="0" b="0"/>
                  <wp:docPr id="56" name="Рисунок 56" descr="http://www.acelab.ru/dep.auto/images/no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www.acelab.ru/dep.auto/images/no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shd w:val="clear" w:color="auto" w:fill="F4F4F4"/>
            <w:vAlign w:val="center"/>
            <w:hideMark/>
          </w:tcPr>
          <w:p w:rsidR="00813BEC" w:rsidRPr="00813BEC" w:rsidRDefault="00813BEC" w:rsidP="00813BEC">
            <w:pPr>
              <w:spacing w:before="100" w:beforeAutospacing="1" w:after="15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B40A0"/>
                <w:kern w:val="36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B40A0"/>
                <w:kern w:val="36"/>
                <w:sz w:val="18"/>
                <w:szCs w:val="18"/>
                <w:lang w:eastAsia="ru-RU"/>
              </w:rPr>
              <w:t>РАСЦЕНКИ НА ПОСЛЕГАРАНТИЙНОЕ* ОБСЛУЖИВАНИЕ ОБОРУДОВАНИЯ</w:t>
            </w:r>
          </w:p>
        </w:tc>
      </w:tr>
    </w:tbl>
    <w:p w:rsidR="00813BEC" w:rsidRPr="00813BEC" w:rsidRDefault="00813BEC" w:rsidP="00813BE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C3C4C6"/>
          <w:left w:val="outset" w:sz="6" w:space="0" w:color="C3C4C6"/>
          <w:bottom w:val="outset" w:sz="6" w:space="0" w:color="C3C4C6"/>
          <w:right w:val="outset" w:sz="6" w:space="0" w:color="C3C4C6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7760"/>
        <w:gridCol w:w="1024"/>
      </w:tblGrid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vAlign w:val="center"/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Цена**, </w:t>
            </w:r>
            <w:proofErr w:type="spellStart"/>
            <w:r w:rsidRPr="00813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Ремонт «АВТОАС-ПРОФИ-3» с полным выходным контролем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7150***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Ремонт “АВТОАС-F16”, “АВТОАС-F16 CAN”, “АВТОАС-F16 CAN 24” с полным выходным контролем и записью новых микропрограмм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2200***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Ремонт адаптера “USB-ECU AS”, “USB-ECU AS 2”, “USB-ECU AS 24”, “USB-ECU AS 3” с полным выходным контролем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1550***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Ремонт USB-приставки «АВТОАС-ЭКСПРЕСС», «АВТОАС-ЭКСПРЕСС М» с полным выходным контролем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1550***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Ремонт адаптера «ECU-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Link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«ECU-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Link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2», «ECU-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Link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3» с полным выходным контролем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1550***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Проверка работоспособности портативного сканера "АВТОАС-F16", “АВТОАС-F16 CAN”, “АВТОАС-F16 CAN </w:t>
            </w:r>
            <w:proofErr w:type="gram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24”с</w:t>
            </w:r>
            <w:proofErr w:type="gram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полным выходным контролем и записью новых микропрограмм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Проверка работоспособности адаптера “USB-ECU AS”, “USB-ECU AS 2”, “USB-ECU AS 24”, “USB-ECU AS 3” с полным выходным контролем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Проверка работоспособности 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USBприставки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«АВТОАС-ЭКСПРЕСС», «АВТОАС-ЭКСПРЕСС М» с полным выходным контролем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770</w:t>
            </w:r>
          </w:p>
        </w:tc>
      </w:tr>
      <w:tr w:rsidR="00813BEC" w:rsidRPr="00813BEC" w:rsidTr="00813BEC">
        <w:trPr>
          <w:tblCellSpacing w:w="0" w:type="dxa"/>
        </w:trPr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Проверка работоспособности адаптера «ECU-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Link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«ECU-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Link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2», «ECU-</w:t>
            </w:r>
            <w:proofErr w:type="spellStart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Link</w:t>
            </w:r>
            <w:proofErr w:type="spellEnd"/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3» с полным выходным контролем</w:t>
            </w:r>
          </w:p>
        </w:tc>
        <w:tc>
          <w:tcPr>
            <w:tcW w:w="750" w:type="dxa"/>
            <w:tcBorders>
              <w:top w:val="outset" w:sz="6" w:space="0" w:color="C3C4C6"/>
              <w:left w:val="outset" w:sz="6" w:space="0" w:color="C3C4C6"/>
              <w:bottom w:val="outset" w:sz="6" w:space="0" w:color="C3C4C6"/>
              <w:right w:val="outset" w:sz="6" w:space="0" w:color="C3C4C6"/>
            </w:tcBorders>
            <w:hideMark/>
          </w:tcPr>
          <w:p w:rsidR="00813BEC" w:rsidRPr="00813BEC" w:rsidRDefault="00813BEC" w:rsidP="00813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B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770</w:t>
            </w:r>
          </w:p>
        </w:tc>
      </w:tr>
    </w:tbl>
    <w:p w:rsidR="00813BEC" w:rsidRPr="00813BEC" w:rsidRDefault="00813BEC" w:rsidP="00813BE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* - гарантийное обслуживание производится только при наличии гарантийного талона с печатью и подписью организации-продавца. В акте рекламации обязательно укажите признаки неисправности </w:t>
      </w:r>
      <w:proofErr w:type="gramStart"/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оборудования.</w:t>
      </w:r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*</w:t>
      </w:r>
      <w:proofErr w:type="gramEnd"/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 - </w:t>
      </w:r>
      <w:r w:rsidRPr="00813B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Внимание!</w:t>
      </w:r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При срочном ремонте, в присутствии заказчика, стоимость ремонта </w:t>
      </w:r>
      <w:proofErr w:type="gramStart"/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удваивается.</w:t>
      </w:r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*</w:t>
      </w:r>
      <w:proofErr w:type="gramEnd"/>
      <w:r w:rsidRPr="00813B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** - цены приведены без учета стоимости используемых при ремонте материалов и комплектующих.</w:t>
      </w:r>
    </w:p>
    <w:p w:rsidR="00B64835" w:rsidRDefault="00B64835">
      <w:bookmarkStart w:id="1" w:name="_GoBack"/>
      <w:bookmarkEnd w:id="1"/>
    </w:p>
    <w:sectPr w:rsidR="00B6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EC"/>
    <w:rsid w:val="00813BEC"/>
    <w:rsid w:val="00B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827BA-E40A-4E58-9876-843E391F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842">
          <w:marLeft w:val="45"/>
          <w:marRight w:val="0"/>
          <w:marTop w:val="0"/>
          <w:marBottom w:val="0"/>
          <w:divBdr>
            <w:top w:val="none" w:sz="0" w:space="0" w:color="auto"/>
            <w:left w:val="single" w:sz="18" w:space="4" w:color="F00000"/>
            <w:bottom w:val="none" w:sz="0" w:space="0" w:color="auto"/>
            <w:right w:val="none" w:sz="0" w:space="0" w:color="auto"/>
          </w:divBdr>
        </w:div>
        <w:div w:id="8951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lab.ru/dep.auto/avtoas-f16.php" TargetMode="External"/><Relationship Id="rId13" Type="http://schemas.openxmlformats.org/officeDocument/2006/relationships/hyperlink" Target="http://www.acelab.ru/dep.auto/avtoas-scan.unitVAZ.php" TargetMode="External"/><Relationship Id="rId18" Type="http://schemas.openxmlformats.org/officeDocument/2006/relationships/hyperlink" Target="http://www.acelab.ru/dep.auto/avtoas-scan.unitKia.php" TargetMode="External"/><Relationship Id="rId26" Type="http://schemas.openxmlformats.org/officeDocument/2006/relationships/hyperlink" Target="http://www.acelab.ru/dep.auto/avtoas-scan.unitNissan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celab.ru/dep.auto/avtoas-scan.unitFord.php" TargetMode="External"/><Relationship Id="rId7" Type="http://schemas.openxmlformats.org/officeDocument/2006/relationships/hyperlink" Target="http://www.acelab.ru/dep.auto/avtoas-cargo.php" TargetMode="External"/><Relationship Id="rId12" Type="http://schemas.openxmlformats.org/officeDocument/2006/relationships/hyperlink" Target="http://www.acelab.ru/dep.auto/avtoas-scan.unitVAZ.php" TargetMode="External"/><Relationship Id="rId17" Type="http://schemas.openxmlformats.org/officeDocument/2006/relationships/hyperlink" Target="http://www.acelab.ru/dep.auto/avtoas-scan.unitHyundai.php" TargetMode="External"/><Relationship Id="rId25" Type="http://schemas.openxmlformats.org/officeDocument/2006/relationships/hyperlink" Target="http://www.acelab.ru/dep.auto/avtoas-scan.unitToyota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celab.ru/dep.auto/avtoas-scan.unitDAEWOO.php" TargetMode="External"/><Relationship Id="rId20" Type="http://schemas.openxmlformats.org/officeDocument/2006/relationships/hyperlink" Target="http://www.acelab.ru/dep.auto/avtoas-scan.unitVAG.php" TargetMode="External"/><Relationship Id="rId29" Type="http://schemas.openxmlformats.org/officeDocument/2006/relationships/hyperlink" Target="http://www.acelab.ru/dep.auto/avtoas-scan.unitOBD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elab.ru/dep.auto/avtoas-scan.php" TargetMode="External"/><Relationship Id="rId11" Type="http://schemas.openxmlformats.org/officeDocument/2006/relationships/hyperlink" Target="http://www.acelab.ru/dep.auto/avtoas-scan.php" TargetMode="External"/><Relationship Id="rId24" Type="http://schemas.openxmlformats.org/officeDocument/2006/relationships/hyperlink" Target="http://www.acelab.ru/dep.auto/avtoas-scan.unitRenault.php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hyperlink" Target="http://www.acelab.ru/dep.auto/avtoas-scan.unitFiat.php" TargetMode="External"/><Relationship Id="rId23" Type="http://schemas.openxmlformats.org/officeDocument/2006/relationships/hyperlink" Target="http://www.acelab.ru/dep.auto/avtoas-scan.unitOpel.php" TargetMode="External"/><Relationship Id="rId28" Type="http://schemas.openxmlformats.org/officeDocument/2006/relationships/hyperlink" Target="http://www.acelab.ru/dep.auto/avtoas-scan.unitChery.php" TargetMode="External"/><Relationship Id="rId10" Type="http://schemas.openxmlformats.org/officeDocument/2006/relationships/hyperlink" Target="http://www.acelab.ru/dep.auto/avtoas-expressDC.php" TargetMode="External"/><Relationship Id="rId19" Type="http://schemas.openxmlformats.org/officeDocument/2006/relationships/hyperlink" Target="http://www.acelab.ru/dep.auto/avtoas-scan.unitSsangYong.php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acelab.ru/dep.auto/avtoas-f16.php" TargetMode="External"/><Relationship Id="rId14" Type="http://schemas.openxmlformats.org/officeDocument/2006/relationships/hyperlink" Target="http://www.acelab.ru/dep.auto/avtoas-scan.unitVAZ.php" TargetMode="External"/><Relationship Id="rId22" Type="http://schemas.openxmlformats.org/officeDocument/2006/relationships/hyperlink" Target="http://www.acelab.ru/dep.auto/avtoas-scan.unitMazda.php" TargetMode="External"/><Relationship Id="rId27" Type="http://schemas.openxmlformats.org/officeDocument/2006/relationships/hyperlink" Target="http://www.acelab.ru/dep.auto/avtoas-scan.unitSubaru.php" TargetMode="External"/><Relationship Id="rId30" Type="http://schemas.openxmlformats.org/officeDocument/2006/relationships/hyperlink" Target="http://www.acelab.ru/dep.auto/avtoas-scan.Cable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2017-02-07T06:47:00Z</dcterms:created>
  <dcterms:modified xsi:type="dcterms:W3CDTF">2017-02-07T06:48:00Z</dcterms:modified>
</cp:coreProperties>
</file>